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wordWrap w:val="0"/>
        <w:autoSpaceDE/>
        <w:autoSpaceDN/>
        <w:spacing w:before="0" w:after="0" w:line="240" w:lineRule="auto"/>
        <w:ind w:left="0" w:right="0" w:firstLine="0"/>
        <w:jc w:val="center"/>
        <w:outlineLvl w:val="0"/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</w:pP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危险废物产生单位信息(20</w:t>
      </w:r>
      <w:r>
        <w:rPr>
          <w:rFonts w:hint="eastAsia" w:ascii="Times New Roman" w:hAnsi="Times New Roman" w:eastAsia="宋体"/>
          <w:color w:val="auto"/>
          <w:position w:val="0"/>
          <w:sz w:val="44"/>
          <w:szCs w:val="44"/>
          <w:lang w:val="en-US" w:eastAsia="zh-CN"/>
        </w:rPr>
        <w:t>22</w:t>
      </w: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年第</w:t>
      </w:r>
      <w:r>
        <w:rPr>
          <w:rFonts w:hint="eastAsia" w:ascii="Times New Roman" w:hAnsi="Times New Roman" w:eastAsia="宋体"/>
          <w:color w:val="auto"/>
          <w:position w:val="0"/>
          <w:sz w:val="44"/>
          <w:szCs w:val="44"/>
          <w:lang w:val="en-US" w:eastAsia="zh-CN"/>
        </w:rPr>
        <w:t>1</w:t>
      </w: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季度）公开</w:t>
      </w:r>
    </w:p>
    <w:p>
      <w:pPr>
        <w:pageBreakBefore w:val="0"/>
        <w:numPr>
          <w:ilvl w:val="0"/>
          <w:numId w:val="0"/>
        </w:numPr>
        <w:wordWrap w:val="0"/>
        <w:autoSpaceDE/>
        <w:autoSpaceDN/>
        <w:bidi w:val="0"/>
        <w:snapToGrid/>
        <w:spacing w:before="0" w:after="160" w:line="460" w:lineRule="exact"/>
        <w:ind w:left="0" w:right="0" w:firstLine="0"/>
        <w:jc w:val="right"/>
        <w:rPr>
          <w:rFonts w:hint="default" w:ascii="Times New Roman" w:hAnsi="Times New Roman" w:eastAsia="Times New Roman"/>
          <w:color w:val="auto"/>
          <w:position w:val="0"/>
          <w:sz w:val="21"/>
          <w:szCs w:val="21"/>
          <w:u w:val="none"/>
        </w:rPr>
      </w:pPr>
      <w:r>
        <w:rPr>
          <w:rFonts w:hint="default" w:ascii="Times New Roman" w:hAnsi="Times New Roman" w:eastAsia="Times New Roman"/>
          <w:color w:val="auto"/>
          <w:position w:val="0"/>
          <w:sz w:val="21"/>
          <w:szCs w:val="21"/>
          <w:u w:val="none"/>
        </w:rPr>
        <w:t>单位：吨</w:t>
      </w:r>
    </w:p>
    <w:tbl>
      <w:tblPr>
        <w:tblStyle w:val="24"/>
        <w:tblW w:w="1417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339"/>
        <w:gridCol w:w="2190"/>
        <w:gridCol w:w="1335"/>
        <w:gridCol w:w="1305"/>
        <w:gridCol w:w="3630"/>
        <w:gridCol w:w="813"/>
        <w:gridCol w:w="19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9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企业名称</w:t>
            </w:r>
          </w:p>
        </w:tc>
        <w:tc>
          <w:tcPr>
            <w:tcW w:w="1339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主要产品</w:t>
            </w:r>
          </w:p>
        </w:tc>
        <w:tc>
          <w:tcPr>
            <w:tcW w:w="2190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危废种类和编号</w:t>
            </w:r>
          </w:p>
        </w:tc>
        <w:tc>
          <w:tcPr>
            <w:tcW w:w="1335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实际产生量</w:t>
            </w:r>
          </w:p>
        </w:tc>
        <w:tc>
          <w:tcPr>
            <w:tcW w:w="1305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利用处置量</w:t>
            </w:r>
          </w:p>
        </w:tc>
        <w:tc>
          <w:tcPr>
            <w:tcW w:w="3630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利用处置去向</w:t>
            </w:r>
          </w:p>
        </w:tc>
        <w:tc>
          <w:tcPr>
            <w:tcW w:w="813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库存量</w:t>
            </w:r>
          </w:p>
        </w:tc>
        <w:tc>
          <w:tcPr>
            <w:tcW w:w="1943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30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存在的危废问题和整改情况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619" w:type="dxa"/>
            <w:vMerge w:val="restart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江苏百澄特种钢管制造有限公司</w:t>
            </w:r>
          </w:p>
        </w:tc>
        <w:tc>
          <w:tcPr>
            <w:tcW w:w="1339" w:type="dxa"/>
            <w:vMerge w:val="restart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30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1.合金钢管</w:t>
            </w:r>
          </w:p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30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</w:p>
        </w:tc>
        <w:tc>
          <w:tcPr>
            <w:tcW w:w="2190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槽渣HW336-064-17</w:t>
            </w:r>
          </w:p>
        </w:tc>
        <w:tc>
          <w:tcPr>
            <w:tcW w:w="1335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0.054</w:t>
            </w:r>
          </w:p>
        </w:tc>
        <w:tc>
          <w:tcPr>
            <w:tcW w:w="1305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630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江苏锦明再生资源有限公司</w:t>
            </w:r>
          </w:p>
        </w:tc>
        <w:tc>
          <w:tcPr>
            <w:tcW w:w="813" w:type="dxa"/>
            <w:tcBorders>
              <w:bottom w:val="single" w:color="000000" w:sz="4" w:space="0"/>
            </w:tcBorders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0.054</w:t>
            </w:r>
          </w:p>
        </w:tc>
        <w:tc>
          <w:tcPr>
            <w:tcW w:w="1943" w:type="dxa"/>
            <w:vMerge w:val="restart"/>
            <w:shd w:val="clear" w:color="000000" w:fill="auto"/>
            <w:vAlign w:val="top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both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1、对员工加强危险废物知识培训，提高业务水平。</w:t>
            </w:r>
          </w:p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both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2、危险废物标签不合规定，重新购买规范化的标签，按规定每袋（桶）悬挂。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/>
        </w:tc>
        <w:tc>
          <w:tcPr>
            <w:tcW w:w="1339" w:type="dxa"/>
            <w:vMerge w:val="continue"/>
            <w:shd w:val="clear" w:color="000000" w:fill="auto"/>
            <w:vAlign w:val="center"/>
          </w:tcPr>
          <w:p/>
        </w:tc>
        <w:tc>
          <w:tcPr>
            <w:tcW w:w="2190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皂化渣HW336-064-17</w:t>
            </w: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0.246</w:t>
            </w:r>
          </w:p>
        </w:tc>
        <w:tc>
          <w:tcPr>
            <w:tcW w:w="1305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630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江苏锦明再生资源有限公司</w:t>
            </w:r>
          </w:p>
        </w:tc>
        <w:tc>
          <w:tcPr>
            <w:tcW w:w="81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0.246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/>
        </w:tc>
        <w:tc>
          <w:tcPr>
            <w:tcW w:w="1339" w:type="dxa"/>
            <w:vMerge w:val="continue"/>
            <w:shd w:val="clear" w:color="000000" w:fill="auto"/>
            <w:vAlign w:val="center"/>
          </w:tcPr>
          <w:p/>
        </w:tc>
        <w:tc>
          <w:tcPr>
            <w:tcW w:w="219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磷化渣HW336-064-17</w:t>
            </w:r>
          </w:p>
        </w:tc>
        <w:tc>
          <w:tcPr>
            <w:tcW w:w="133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0.252</w:t>
            </w:r>
          </w:p>
        </w:tc>
        <w:tc>
          <w:tcPr>
            <w:tcW w:w="130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63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江苏锦明再生资源有限公司</w:t>
            </w:r>
          </w:p>
        </w:tc>
        <w:tc>
          <w:tcPr>
            <w:tcW w:w="813" w:type="dxa"/>
            <w:tcBorders>
              <w:top w:val="single" w:color="000000" w:sz="4" w:space="0"/>
            </w:tcBorders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0.252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/>
        </w:tc>
        <w:tc>
          <w:tcPr>
            <w:tcW w:w="1339" w:type="dxa"/>
            <w:vMerge w:val="continue"/>
            <w:shd w:val="clear" w:color="000000" w:fill="auto"/>
            <w:vAlign w:val="center"/>
          </w:tcPr>
          <w:p/>
        </w:tc>
        <w:tc>
          <w:tcPr>
            <w:tcW w:w="2190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污泥HW336-064-17</w:t>
            </w:r>
          </w:p>
        </w:tc>
        <w:tc>
          <w:tcPr>
            <w:tcW w:w="1335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57.982</w:t>
            </w:r>
          </w:p>
        </w:tc>
        <w:tc>
          <w:tcPr>
            <w:tcW w:w="1305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29.192</w:t>
            </w:r>
          </w:p>
        </w:tc>
        <w:tc>
          <w:tcPr>
            <w:tcW w:w="3630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江苏锦明再生资源有限公司</w:t>
            </w:r>
          </w:p>
        </w:tc>
        <w:tc>
          <w:tcPr>
            <w:tcW w:w="813" w:type="dxa"/>
            <w:tcBorders>
              <w:bottom w:val="single" w:color="000000" w:sz="4" w:space="0"/>
            </w:tcBorders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48.79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/>
        </w:tc>
        <w:tc>
          <w:tcPr>
            <w:tcW w:w="1339" w:type="dxa"/>
            <w:vMerge w:val="continue"/>
            <w:shd w:val="clear" w:color="000000" w:fill="auto"/>
            <w:vAlign w:val="center"/>
          </w:tcPr>
          <w:p/>
        </w:tc>
        <w:tc>
          <w:tcPr>
            <w:tcW w:w="219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蒸发结晶盐HW336-064-17</w:t>
            </w:r>
          </w:p>
        </w:tc>
        <w:tc>
          <w:tcPr>
            <w:tcW w:w="133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0.052</w:t>
            </w:r>
          </w:p>
        </w:tc>
        <w:tc>
          <w:tcPr>
            <w:tcW w:w="130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63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江苏锦明再生资源有限公司</w:t>
            </w:r>
          </w:p>
        </w:tc>
        <w:tc>
          <w:tcPr>
            <w:tcW w:w="813" w:type="dxa"/>
            <w:tcBorders>
              <w:top w:val="single" w:color="000000" w:sz="4" w:space="0"/>
            </w:tcBorders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0.052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9" w:type="dxa"/>
            <w:vMerge w:val="continue"/>
            <w:shd w:val="clear" w:color="000000" w:fill="auto"/>
            <w:vAlign w:val="center"/>
          </w:tcPr>
          <w:p/>
        </w:tc>
        <w:tc>
          <w:tcPr>
            <w:tcW w:w="1339" w:type="dxa"/>
            <w:vMerge w:val="continue"/>
            <w:shd w:val="clear" w:color="000000" w:fill="auto"/>
            <w:vAlign w:val="center"/>
          </w:tcPr>
          <w:p/>
        </w:tc>
        <w:tc>
          <w:tcPr>
            <w:tcW w:w="2190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废酸HW900-600-34</w:t>
            </w:r>
          </w:p>
        </w:tc>
        <w:tc>
          <w:tcPr>
            <w:tcW w:w="1335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56.37</w:t>
            </w:r>
          </w:p>
        </w:tc>
        <w:tc>
          <w:tcPr>
            <w:tcW w:w="1305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56.37</w:t>
            </w:r>
          </w:p>
        </w:tc>
        <w:tc>
          <w:tcPr>
            <w:tcW w:w="3630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徐州方维环保科技有限公司</w:t>
            </w:r>
          </w:p>
        </w:tc>
        <w:tc>
          <w:tcPr>
            <w:tcW w:w="813" w:type="dxa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0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/>
        </w:tc>
      </w:tr>
    </w:tbl>
    <w:p>
      <w:bookmarkStart w:id="0" w:name="_GoBack"/>
      <w:bookmarkEnd w:id="0"/>
    </w:p>
    <w:sectPr>
      <w:footnotePr>
        <w:numFmt w:val="decimal"/>
      </w:footnotePr>
      <w:pgSz w:w="16838" w:h="11906" w:orient="landscape"/>
      <w:pgMar w:top="1440" w:right="1701" w:bottom="1440" w:left="1440" w:header="708" w:footer="708" w:gutter="0"/>
      <w:pgNumType w:fmt="decimal"/>
      <w:cols w:space="720" w:num="1"/>
      <w:docGrid w:linePitch="360" w:charSpace="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小标宋_GBK">
    <w:altName w:val="微软雅黑"/>
    <w:panose1 w:val="020F0502020204030204"/>
    <w:charset w:val="00"/>
    <w:family w:val="auto"/>
    <w:pitch w:val="default"/>
    <w:sig w:usb0="00000000" w:usb1="00000000" w:usb2="00000000" w:usb3="00000000" w:csb0="FFFFFF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800"/>
  <w:displayHorizontalDrawingGridEvery w:val="0"/>
  <w:displayVerticalDrawingGridEvery w:val="2"/>
  <w:noPunctuationKerning w:val="1"/>
  <w:characterSpacingControl w:val="doNotCompress"/>
  <w:compat>
    <w:balanceSingleByteDoubleByteWidth/>
    <w:useFELayout/>
    <w:compatSetting w:name="compatibilityMode" w:uri="http://schemas.microsoft.com/office/word" w:val="15"/>
  </w:compat>
  <w:rsids>
    <w:rsidRoot w:val="00000000"/>
    <w:rsid w:val="059D3EC3"/>
    <w:rsid w:val="0B8F1B81"/>
    <w:rsid w:val="51767900"/>
  </w:rsids>
  <m:mathPr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7" w:semiHidden="0" w:name="heading 1"/>
    <w:lsdException w:qFormat="1" w:unhideWhenUsed="0" w:uiPriority="8" w:semiHidden="0" w:name="heading 2"/>
    <w:lsdException w:qFormat="1" w:unhideWhenUsed="0" w:uiPriority="9" w:semiHidden="0" w:name="heading 3"/>
    <w:lsdException w:qFormat="1" w:unhideWhenUsed="0" w:uiPriority="10" w:semiHidden="0" w:name="heading 4"/>
    <w:lsdException w:qFormat="1" w:unhideWhenUsed="0" w:uiPriority="11" w:semiHidden="0" w:name="heading 5"/>
    <w:lsdException w:qFormat="1" w:unhideWhenUsed="0" w:uiPriority="12" w:semiHidden="0" w:name="heading 6"/>
    <w:lsdException w:qFormat="1" w:unhideWhenUsed="0" w:uiPriority="13" w:semiHidden="0" w:name="heading 7"/>
    <w:lsdException w:qFormat="1" w:unhideWhenUsed="0" w:uiPriority="14" w:semiHidden="0" w:name="heading 8"/>
    <w:lsdException w:qFormat="1" w:unhideWhenUsed="0" w:uiPriority="15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28" w:semiHidden="0" w:name="toc 1"/>
    <w:lsdException w:qFormat="1" w:uiPriority="29" w:semiHidden="0" w:name="toc 2"/>
    <w:lsdException w:qFormat="1" w:uiPriority="30" w:semiHidden="0" w:name="toc 3"/>
    <w:lsdException w:qFormat="1" w:uiPriority="31" w:semiHidden="0" w:name="toc 4"/>
    <w:lsdException w:qFormat="1" w:uiPriority="32" w:semiHidden="0" w:name="toc 5"/>
    <w:lsdException w:qFormat="1" w:uiPriority="33" w:semiHidden="0" w:name="toc 6"/>
    <w:lsdException w:qFormat="1" w:uiPriority="34" w:semiHidden="0" w:name="toc 7"/>
    <w:lsdException w:qFormat="1" w:uiPriority="35" w:semiHidden="0" w:name="toc 8"/>
    <w:lsdException w:qFormat="1" w:uiPriority="36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151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6" w:semiHidden="0" w:name="Title"/>
    <w:lsdException w:unhideWhenUsed="0" w:uiPriority="0" w:semiHidden="0" w:name="Closing"/>
    <w:lsdException w:unhideWhenUsed="0" w:uiPriority="0" w:semiHidden="0" w:name="Signature"/>
    <w:lsdException w:qFormat="1" w:uiPriority="2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6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0" w:semiHidden="0" w:name="Strong"/>
    <w:lsdException w:qFormat="1" w:unhideWhenUsed="0" w:uiPriority="18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3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7" w:semiHidden="0" w:name="Table Grid"/>
    <w:lsdException w:unhideWhenUsed="0" w:uiPriority="0" w:semiHidden="0" w:name="Table Theme"/>
    <w:lsdException w:qFormat="1" w:unhideWhenUsed="0" w:uiPriority="5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26" w:semiHidden="0" w:name="List Paragraph"/>
    <w:lsdException w:qFormat="1" w:unhideWhenUsed="0" w:uiPriority="21" w:semiHidden="0" w:name="Quote"/>
    <w:lsdException w:qFormat="1" w:unhideWhenUsed="0" w:uiPriority="22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">
    <w:name w:val="heading 1"/>
    <w:basedOn w:val="1"/>
    <w:next w:val="1"/>
    <w:qFormat/>
    <w:uiPriority w:val="7"/>
    <w:pPr>
      <w:wordWrap w:val="0"/>
      <w:autoSpaceDE/>
      <w:autoSpaceDN/>
      <w:ind w:firstLine="0"/>
      <w:jc w:val="center"/>
    </w:pPr>
    <w:rPr>
      <w:rFonts w:ascii="方正小标宋_GBK" w:hAnsi="方正小标宋_GBK" w:eastAsia="方正小标宋_GBK"/>
      <w:sz w:val="44"/>
      <w:szCs w:val="44"/>
    </w:rPr>
  </w:style>
  <w:style w:type="paragraph" w:styleId="3">
    <w:name w:val="heading 2"/>
    <w:next w:val="1"/>
    <w:qFormat/>
    <w:uiPriority w:val="8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4">
    <w:name w:val="heading 3"/>
    <w:next w:val="1"/>
    <w:qFormat/>
    <w:uiPriority w:val="9"/>
    <w:pPr>
      <w:wordWrap w:val="0"/>
      <w:autoSpaceDE/>
      <w:autoSpaceDN/>
      <w:ind w:left="10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5">
    <w:name w:val="heading 4"/>
    <w:next w:val="1"/>
    <w:qFormat/>
    <w:uiPriority w:val="10"/>
    <w:pPr>
      <w:wordWrap w:val="0"/>
      <w:autoSpaceDE/>
      <w:autoSpaceDN/>
      <w:ind w:left="1200" w:hanging="400"/>
      <w:jc w:val="both"/>
    </w:pPr>
    <w:rPr>
      <w:rFonts w:asciiTheme="minorHAnsi" w:hAnsiTheme="minorHAnsi" w:eastAsiaTheme="minorEastAsia" w:cstheme="minorBidi"/>
      <w:b/>
      <w:sz w:val="21"/>
      <w:szCs w:val="21"/>
    </w:rPr>
  </w:style>
  <w:style w:type="paragraph" w:styleId="6">
    <w:name w:val="heading 5"/>
    <w:next w:val="1"/>
    <w:qFormat/>
    <w:uiPriority w:val="11"/>
    <w:pPr>
      <w:wordWrap w:val="0"/>
      <w:autoSpaceDE/>
      <w:autoSpaceDN/>
      <w:ind w:left="14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7">
    <w:name w:val="heading 6"/>
    <w:next w:val="1"/>
    <w:qFormat/>
    <w:uiPriority w:val="12"/>
    <w:pPr>
      <w:wordWrap w:val="0"/>
      <w:autoSpaceDE/>
      <w:autoSpaceDN/>
      <w:ind w:left="1600" w:hanging="400"/>
      <w:jc w:val="both"/>
    </w:pPr>
    <w:rPr>
      <w:rFonts w:asciiTheme="minorHAnsi" w:hAnsiTheme="minorHAnsi" w:eastAsiaTheme="minorEastAsia" w:cstheme="minorBidi"/>
      <w:b/>
      <w:sz w:val="21"/>
      <w:szCs w:val="21"/>
    </w:rPr>
  </w:style>
  <w:style w:type="paragraph" w:styleId="8">
    <w:name w:val="heading 7"/>
    <w:next w:val="1"/>
    <w:qFormat/>
    <w:uiPriority w:val="13"/>
    <w:pPr>
      <w:wordWrap w:val="0"/>
      <w:autoSpaceDE/>
      <w:autoSpaceDN/>
      <w:ind w:left="18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9">
    <w:name w:val="heading 8"/>
    <w:next w:val="1"/>
    <w:qFormat/>
    <w:uiPriority w:val="14"/>
    <w:pPr>
      <w:wordWrap w:val="0"/>
      <w:autoSpaceDE/>
      <w:autoSpaceDN/>
      <w:ind w:left="20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0">
    <w:name w:val="heading 9"/>
    <w:next w:val="1"/>
    <w:qFormat/>
    <w:uiPriority w:val="15"/>
    <w:pPr>
      <w:wordWrap w:val="0"/>
      <w:autoSpaceDE/>
      <w:autoSpaceDN/>
      <w:ind w:left="22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character" w:default="1" w:styleId="25">
    <w:name w:val="Default Paragraph Font"/>
    <w:semiHidden/>
    <w:unhideWhenUsed/>
    <w:qFormat/>
    <w:uiPriority w:val="2"/>
    <w:rPr>
      <w:sz w:val="21"/>
      <w:szCs w:val="21"/>
    </w:rPr>
  </w:style>
  <w:style w:type="table" w:default="1" w:styleId="23">
    <w:name w:val="Normal Table"/>
    <w:semiHidden/>
    <w:unhideWhenUsed/>
    <w:uiPriority w:val="3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unhideWhenUsed/>
    <w:qFormat/>
    <w:uiPriority w:val="34"/>
    <w:pPr>
      <w:wordWrap w:val="0"/>
      <w:autoSpaceDE/>
      <w:autoSpaceDN/>
      <w:ind w:left="25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2">
    <w:name w:val="toc 5"/>
    <w:next w:val="1"/>
    <w:unhideWhenUsed/>
    <w:qFormat/>
    <w:uiPriority w:val="32"/>
    <w:pPr>
      <w:wordWrap w:val="0"/>
      <w:autoSpaceDE/>
      <w:autoSpaceDN/>
      <w:ind w:left="170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3">
    <w:name w:val="toc 3"/>
    <w:next w:val="1"/>
    <w:unhideWhenUsed/>
    <w:qFormat/>
    <w:uiPriority w:val="30"/>
    <w:pPr>
      <w:wordWrap w:val="0"/>
      <w:autoSpaceDE/>
      <w:autoSpaceDN/>
      <w:ind w:left="8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4">
    <w:name w:val="toc 8"/>
    <w:next w:val="1"/>
    <w:unhideWhenUsed/>
    <w:qFormat/>
    <w:uiPriority w:val="35"/>
    <w:pPr>
      <w:wordWrap w:val="0"/>
      <w:autoSpaceDE/>
      <w:autoSpaceDN/>
      <w:ind w:left="297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5">
    <w:name w:val="footer"/>
    <w:basedOn w:val="1"/>
    <w:qFormat/>
    <w:uiPriority w:val="151"/>
    <w:pPr>
      <w:tabs>
        <w:tab w:val="center" w:pos="4153"/>
        <w:tab w:val="right" w:pos="8306"/>
      </w:tabs>
      <w:wordWrap w:val="0"/>
      <w:autoSpaceDE/>
      <w:autoSpaceDN/>
      <w:ind w:firstLine="0"/>
    </w:pPr>
    <w:rPr>
      <w:rFonts w:ascii="宋体" w:hAnsi="宋体" w:eastAsia="宋体"/>
      <w:sz w:val="18"/>
      <w:szCs w:val="18"/>
    </w:rPr>
  </w:style>
  <w:style w:type="paragraph" w:styleId="16">
    <w:name w:val="toc 1"/>
    <w:next w:val="1"/>
    <w:unhideWhenUsed/>
    <w:qFormat/>
    <w:uiPriority w:val="28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7">
    <w:name w:val="toc 4"/>
    <w:next w:val="1"/>
    <w:unhideWhenUsed/>
    <w:qFormat/>
    <w:uiPriority w:val="31"/>
    <w:pPr>
      <w:wordWrap w:val="0"/>
      <w:autoSpaceDE/>
      <w:autoSpaceDN/>
      <w:ind w:left="127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8">
    <w:name w:val="Subtitle"/>
    <w:qFormat/>
    <w:uiPriority w:val="16"/>
    <w:pPr>
      <w:wordWrap w:val="0"/>
      <w:autoSpaceDE/>
      <w:autoSpaceDN/>
      <w:jc w:val="center"/>
    </w:pPr>
    <w:rPr>
      <w:rFonts w:asciiTheme="minorHAnsi" w:hAnsiTheme="minorHAnsi" w:eastAsiaTheme="minorEastAsia" w:cstheme="minorBidi"/>
      <w:sz w:val="24"/>
      <w:szCs w:val="24"/>
    </w:rPr>
  </w:style>
  <w:style w:type="paragraph" w:styleId="19">
    <w:name w:val="toc 6"/>
    <w:next w:val="1"/>
    <w:unhideWhenUsed/>
    <w:qFormat/>
    <w:uiPriority w:val="33"/>
    <w:pPr>
      <w:wordWrap w:val="0"/>
      <w:autoSpaceDE/>
      <w:autoSpaceDN/>
      <w:ind w:left="212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0">
    <w:name w:val="toc 2"/>
    <w:next w:val="1"/>
    <w:unhideWhenUsed/>
    <w:qFormat/>
    <w:uiPriority w:val="29"/>
    <w:pPr>
      <w:wordWrap w:val="0"/>
      <w:autoSpaceDE/>
      <w:autoSpaceDN/>
      <w:ind w:left="42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1">
    <w:name w:val="toc 9"/>
    <w:next w:val="1"/>
    <w:unhideWhenUsed/>
    <w:qFormat/>
    <w:uiPriority w:val="36"/>
    <w:pPr>
      <w:wordWrap w:val="0"/>
      <w:autoSpaceDE/>
      <w:autoSpaceDN/>
      <w:ind w:left="340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2">
    <w:name w:val="Title"/>
    <w:qFormat/>
    <w:uiPriority w:val="6"/>
    <w:pPr>
      <w:wordWrap w:val="0"/>
      <w:autoSpaceDE/>
      <w:autoSpaceDN/>
      <w:jc w:val="center"/>
    </w:pPr>
    <w:rPr>
      <w:rFonts w:asciiTheme="minorHAnsi" w:hAnsiTheme="minorHAnsi" w:eastAsiaTheme="minorEastAsia" w:cstheme="minorBidi"/>
      <w:b/>
      <w:sz w:val="32"/>
      <w:szCs w:val="32"/>
    </w:rPr>
  </w:style>
  <w:style w:type="table" w:styleId="24">
    <w:name w:val="Table Grid"/>
    <w:basedOn w:val="23"/>
    <w:qFormat/>
    <w:uiPriority w:val="37"/>
    <w:pPr>
      <w:wordWrap w:val="0"/>
      <w:autoSpaceDE/>
      <w:autoSpaceDN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6">
    <w:name w:val="Strong"/>
    <w:qFormat/>
    <w:uiPriority w:val="20"/>
    <w:rPr>
      <w:b/>
      <w:sz w:val="21"/>
      <w:szCs w:val="21"/>
    </w:rPr>
  </w:style>
  <w:style w:type="character" w:styleId="27">
    <w:name w:val="Emphasis"/>
    <w:qFormat/>
    <w:uiPriority w:val="18"/>
    <w:rPr>
      <w:i/>
      <w:sz w:val="21"/>
      <w:szCs w:val="21"/>
    </w:rPr>
  </w:style>
  <w:style w:type="paragraph" w:styleId="28">
    <w:name w:val="No Spacing"/>
    <w:qFormat/>
    <w:uiPriority w:val="5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character" w:customStyle="1" w:styleId="29">
    <w:name w:val="Subtle Emphasis"/>
    <w:qFormat/>
    <w:uiPriority w:val="17"/>
    <w:rPr>
      <w:i/>
      <w:color w:val="404040"/>
      <w:sz w:val="21"/>
      <w:szCs w:val="21"/>
    </w:rPr>
  </w:style>
  <w:style w:type="character" w:customStyle="1" w:styleId="30">
    <w:name w:val="Intense Emphasis"/>
    <w:qFormat/>
    <w:uiPriority w:val="19"/>
    <w:rPr>
      <w:i/>
      <w:color w:val="5B9BD5"/>
      <w:sz w:val="21"/>
      <w:szCs w:val="21"/>
    </w:rPr>
  </w:style>
  <w:style w:type="paragraph" w:styleId="31">
    <w:name w:val="Quote"/>
    <w:qFormat/>
    <w:uiPriority w:val="21"/>
    <w:pPr>
      <w:wordWrap w:val="0"/>
      <w:autoSpaceDE/>
      <w:autoSpaceDN/>
      <w:ind w:left="864" w:right="864" w:firstLine="0"/>
      <w:jc w:val="center"/>
    </w:pPr>
    <w:rPr>
      <w:rFonts w:asciiTheme="minorHAnsi" w:hAnsiTheme="minorHAnsi" w:eastAsiaTheme="minorEastAsia" w:cstheme="minorBidi"/>
      <w:i/>
      <w:color w:val="404040"/>
      <w:sz w:val="21"/>
      <w:szCs w:val="21"/>
    </w:rPr>
  </w:style>
  <w:style w:type="paragraph" w:styleId="32">
    <w:name w:val="Intense Quote"/>
    <w:qFormat/>
    <w:uiPriority w:val="22"/>
    <w:pPr>
      <w:wordWrap w:val="0"/>
      <w:autoSpaceDE/>
      <w:autoSpaceDN/>
      <w:ind w:left="950" w:right="950" w:firstLine="0"/>
      <w:jc w:val="center"/>
    </w:pPr>
    <w:rPr>
      <w:rFonts w:asciiTheme="minorHAnsi" w:hAnsiTheme="minorHAnsi" w:eastAsiaTheme="minorEastAsia" w:cstheme="minorBidi"/>
      <w:i/>
      <w:color w:val="5B9BD5"/>
      <w:sz w:val="21"/>
      <w:szCs w:val="21"/>
    </w:rPr>
  </w:style>
  <w:style w:type="character" w:customStyle="1" w:styleId="33">
    <w:name w:val="Subtle Reference"/>
    <w:qFormat/>
    <w:uiPriority w:val="23"/>
    <w:rPr>
      <w:smallCaps/>
      <w:color w:val="5A5A5A"/>
      <w:sz w:val="21"/>
      <w:szCs w:val="21"/>
    </w:rPr>
  </w:style>
  <w:style w:type="character" w:customStyle="1" w:styleId="34">
    <w:name w:val="Intense Reference"/>
    <w:qFormat/>
    <w:uiPriority w:val="24"/>
    <w:rPr>
      <w:b/>
      <w:smallCaps/>
      <w:color w:val="5B9BD5"/>
      <w:sz w:val="21"/>
      <w:szCs w:val="21"/>
    </w:rPr>
  </w:style>
  <w:style w:type="character" w:customStyle="1" w:styleId="35">
    <w:name w:val="Book Title"/>
    <w:qFormat/>
    <w:uiPriority w:val="25"/>
    <w:rPr>
      <w:b/>
      <w:i/>
      <w:sz w:val="21"/>
      <w:szCs w:val="21"/>
    </w:rPr>
  </w:style>
  <w:style w:type="paragraph" w:styleId="36">
    <w:name w:val="List Paragraph"/>
    <w:qFormat/>
    <w:uiPriority w:val="26"/>
    <w:pPr>
      <w:wordWrap w:val="0"/>
      <w:autoSpaceDE/>
      <w:autoSpaceDN/>
      <w:ind w:left="8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customStyle="1" w:styleId="37">
    <w:name w:val="TOC Heading"/>
    <w:unhideWhenUsed/>
    <w:qFormat/>
    <w:uiPriority w:val="27"/>
    <w:pPr>
      <w:wordWrap w:val="0"/>
      <w:autoSpaceDE/>
      <w:autoSpaceDN/>
      <w:jc w:val="both"/>
    </w:pPr>
    <w:rPr>
      <w:rFonts w:asciiTheme="minorHAnsi" w:hAnsiTheme="minorHAnsi" w:eastAsiaTheme="minorEastAsia" w:cstheme="minorBidi"/>
      <w:color w:val="2E74B5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259</Words>
  <Characters>377</Characters>
  <Lines>0</Lines>
  <Paragraphs>0</Paragraphs>
  <TotalTime>13</TotalTime>
  <ScaleCrop>false</ScaleCrop>
  <LinksUpToDate>false</LinksUpToDate>
  <CharactersWithSpaces>377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2021-10-14T22:40:00Z</dcterms:created>
  <dc:creator>dell</dc:creator>
  <cp:lastModifiedBy>庞文龙</cp:lastModifiedBy>
  <dcterms:modified xsi:type="dcterms:W3CDTF">2022-04-06T06:13:56Z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0F6D14E0093E41C589A0E356821C4C4D</vt:lpwstr>
  </property>
</Properties>
</file>