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wordWrap w:val="0"/>
        <w:autoSpaceDE/>
        <w:autoSpaceDN/>
        <w:spacing w:before="0" w:after="0" w:line="240" w:lineRule="auto"/>
        <w:ind w:left="0" w:right="0" w:firstLine="0"/>
        <w:jc w:val="center"/>
        <w:outlineLvl w:val="0"/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</w:pP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危险废物产生单位信息(20</w:t>
      </w:r>
      <w:r>
        <w:rPr>
          <w:rFonts w:hint="eastAsia" w:ascii="Times New Roman" w:hAnsi="Times New Roman" w:eastAsia="宋体"/>
          <w:color w:val="auto"/>
          <w:position w:val="0"/>
          <w:sz w:val="44"/>
          <w:szCs w:val="44"/>
          <w:lang w:val="en-US" w:eastAsia="zh-CN"/>
        </w:rPr>
        <w:t>22</w:t>
      </w: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年第</w:t>
      </w:r>
      <w:r>
        <w:rPr>
          <w:rFonts w:hint="eastAsia" w:ascii="Times New Roman" w:hAnsi="Times New Roman" w:eastAsia="宋体"/>
          <w:color w:val="auto"/>
          <w:position w:val="0"/>
          <w:sz w:val="44"/>
          <w:szCs w:val="44"/>
          <w:lang w:val="en-US" w:eastAsia="zh-CN"/>
        </w:rPr>
        <w:t>2</w:t>
      </w: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季度）公开</w:t>
      </w:r>
    </w:p>
    <w:p>
      <w:pPr>
        <w:pageBreakBefore w:val="0"/>
        <w:numPr>
          <w:ilvl w:val="0"/>
          <w:numId w:val="0"/>
        </w:numPr>
        <w:wordWrap w:val="0"/>
        <w:autoSpaceDE/>
        <w:autoSpaceDN/>
        <w:bidi w:val="0"/>
        <w:snapToGrid/>
        <w:spacing w:before="0" w:after="160" w:line="460" w:lineRule="exact"/>
        <w:ind w:left="0" w:right="0" w:firstLine="0"/>
        <w:jc w:val="right"/>
        <w:rPr>
          <w:rFonts w:hint="default" w:ascii="Times New Roman" w:hAnsi="Times New Roman" w:eastAsia="Times New Roman"/>
          <w:color w:val="auto"/>
          <w:position w:val="0"/>
          <w:sz w:val="21"/>
          <w:szCs w:val="21"/>
          <w:u w:val="none"/>
        </w:rPr>
      </w:pPr>
      <w:r>
        <w:rPr>
          <w:rFonts w:hint="default" w:ascii="Times New Roman" w:hAnsi="Times New Roman" w:eastAsia="Times New Roman"/>
          <w:color w:val="auto"/>
          <w:position w:val="0"/>
          <w:sz w:val="21"/>
          <w:szCs w:val="21"/>
          <w:u w:val="none"/>
        </w:rPr>
        <w:t>单位：吨</w:t>
      </w:r>
    </w:p>
    <w:tbl>
      <w:tblPr>
        <w:tblStyle w:val="24"/>
        <w:tblW w:w="1417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339"/>
        <w:gridCol w:w="2190"/>
        <w:gridCol w:w="1335"/>
        <w:gridCol w:w="1305"/>
        <w:gridCol w:w="3630"/>
        <w:gridCol w:w="813"/>
        <w:gridCol w:w="19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9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企业名称</w:t>
            </w:r>
          </w:p>
        </w:tc>
        <w:tc>
          <w:tcPr>
            <w:tcW w:w="1339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主要产品</w:t>
            </w:r>
          </w:p>
        </w:tc>
        <w:tc>
          <w:tcPr>
            <w:tcW w:w="2190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危废种类和编号</w:t>
            </w:r>
          </w:p>
        </w:tc>
        <w:tc>
          <w:tcPr>
            <w:tcW w:w="1335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实际产生量</w:t>
            </w:r>
          </w:p>
        </w:tc>
        <w:tc>
          <w:tcPr>
            <w:tcW w:w="1305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利用处置量</w:t>
            </w:r>
          </w:p>
        </w:tc>
        <w:tc>
          <w:tcPr>
            <w:tcW w:w="3630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利用处置去向</w:t>
            </w:r>
          </w:p>
        </w:tc>
        <w:tc>
          <w:tcPr>
            <w:tcW w:w="813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库存量</w:t>
            </w:r>
          </w:p>
        </w:tc>
        <w:tc>
          <w:tcPr>
            <w:tcW w:w="1943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存在的危废问题和整改情况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619" w:type="dxa"/>
            <w:vMerge w:val="restart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江苏百澄特种钢管制造有限公司</w:t>
            </w:r>
          </w:p>
        </w:tc>
        <w:tc>
          <w:tcPr>
            <w:tcW w:w="1339" w:type="dxa"/>
            <w:vMerge w:val="restart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1.合金钢管</w:t>
            </w:r>
          </w:p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</w:p>
        </w:tc>
        <w:tc>
          <w:tcPr>
            <w:tcW w:w="219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槽渣HW336-064-17</w:t>
            </w:r>
          </w:p>
        </w:tc>
        <w:tc>
          <w:tcPr>
            <w:tcW w:w="1335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0.056</w:t>
            </w:r>
          </w:p>
        </w:tc>
        <w:tc>
          <w:tcPr>
            <w:tcW w:w="1305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0.11</w:t>
            </w:r>
          </w:p>
        </w:tc>
        <w:tc>
          <w:tcPr>
            <w:tcW w:w="363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江苏锦明再生资源有限公司</w:t>
            </w:r>
          </w:p>
        </w:tc>
        <w:tc>
          <w:tcPr>
            <w:tcW w:w="813" w:type="dxa"/>
            <w:tcBorders>
              <w:bottom w:val="single" w:color="000000" w:sz="4" w:space="0"/>
            </w:tcBorders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43" w:type="dxa"/>
            <w:vMerge w:val="restart"/>
            <w:shd w:val="clear" w:color="000000" w:fill="auto"/>
            <w:vAlign w:val="top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both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1、对员工加强危险废物知识培训，提高业务水平。</w:t>
            </w:r>
          </w:p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both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2、危险废物标签不合规定，重新购买规范化的标签，按规定每袋（桶）悬挂。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/>
        </w:tc>
        <w:tc>
          <w:tcPr>
            <w:tcW w:w="1339" w:type="dxa"/>
            <w:vMerge w:val="continue"/>
            <w:shd w:val="clear" w:color="000000" w:fill="auto"/>
            <w:vAlign w:val="center"/>
          </w:tcPr>
          <w:p/>
        </w:tc>
        <w:tc>
          <w:tcPr>
            <w:tcW w:w="2190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皂化渣HW336-064-17</w:t>
            </w: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0.264</w:t>
            </w:r>
          </w:p>
        </w:tc>
        <w:tc>
          <w:tcPr>
            <w:tcW w:w="1305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0.51</w:t>
            </w:r>
          </w:p>
        </w:tc>
        <w:tc>
          <w:tcPr>
            <w:tcW w:w="3630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江苏锦明再生资源有限公司</w:t>
            </w:r>
          </w:p>
        </w:tc>
        <w:tc>
          <w:tcPr>
            <w:tcW w:w="81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/>
        </w:tc>
        <w:tc>
          <w:tcPr>
            <w:tcW w:w="1339" w:type="dxa"/>
            <w:vMerge w:val="continue"/>
            <w:shd w:val="clear" w:color="000000" w:fill="auto"/>
            <w:vAlign w:val="center"/>
          </w:tcPr>
          <w:p/>
        </w:tc>
        <w:tc>
          <w:tcPr>
            <w:tcW w:w="219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磷化渣HW336-064-17</w:t>
            </w:r>
          </w:p>
        </w:tc>
        <w:tc>
          <w:tcPr>
            <w:tcW w:w="133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0.256</w:t>
            </w:r>
          </w:p>
        </w:tc>
        <w:tc>
          <w:tcPr>
            <w:tcW w:w="130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0.508</w:t>
            </w:r>
          </w:p>
        </w:tc>
        <w:tc>
          <w:tcPr>
            <w:tcW w:w="363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江苏锦明再生资源有限公司</w:t>
            </w:r>
          </w:p>
        </w:tc>
        <w:tc>
          <w:tcPr>
            <w:tcW w:w="813" w:type="dxa"/>
            <w:tcBorders>
              <w:top w:val="single" w:color="000000" w:sz="4" w:space="0"/>
            </w:tcBorders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/>
        </w:tc>
        <w:tc>
          <w:tcPr>
            <w:tcW w:w="1339" w:type="dxa"/>
            <w:vMerge w:val="continue"/>
            <w:shd w:val="clear" w:color="000000" w:fill="auto"/>
            <w:vAlign w:val="center"/>
          </w:tcPr>
          <w:p/>
        </w:tc>
        <w:tc>
          <w:tcPr>
            <w:tcW w:w="219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污泥HW336-064-17</w:t>
            </w:r>
          </w:p>
        </w:tc>
        <w:tc>
          <w:tcPr>
            <w:tcW w:w="1335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78.918</w:t>
            </w:r>
          </w:p>
        </w:tc>
        <w:tc>
          <w:tcPr>
            <w:tcW w:w="1305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125.912</w:t>
            </w:r>
          </w:p>
        </w:tc>
        <w:tc>
          <w:tcPr>
            <w:tcW w:w="363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江苏锦明再生资源有限公司</w:t>
            </w:r>
          </w:p>
        </w:tc>
        <w:tc>
          <w:tcPr>
            <w:tcW w:w="813" w:type="dxa"/>
            <w:tcBorders>
              <w:bottom w:val="single" w:color="000000" w:sz="4" w:space="0"/>
            </w:tcBorders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1.796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/>
        </w:tc>
        <w:tc>
          <w:tcPr>
            <w:tcW w:w="1339" w:type="dxa"/>
            <w:vMerge w:val="continue"/>
            <w:shd w:val="clear" w:color="000000" w:fill="auto"/>
            <w:vAlign w:val="center"/>
          </w:tcPr>
          <w:p/>
        </w:tc>
        <w:tc>
          <w:tcPr>
            <w:tcW w:w="219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蒸发结晶盐HW336-064-17</w:t>
            </w:r>
          </w:p>
        </w:tc>
        <w:tc>
          <w:tcPr>
            <w:tcW w:w="133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0.064</w:t>
            </w:r>
          </w:p>
        </w:tc>
        <w:tc>
          <w:tcPr>
            <w:tcW w:w="130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0.116</w:t>
            </w:r>
          </w:p>
        </w:tc>
        <w:tc>
          <w:tcPr>
            <w:tcW w:w="363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江苏锦明再生资源有限公司</w:t>
            </w:r>
          </w:p>
        </w:tc>
        <w:tc>
          <w:tcPr>
            <w:tcW w:w="813" w:type="dxa"/>
            <w:tcBorders>
              <w:top w:val="single" w:color="000000" w:sz="4" w:space="0"/>
            </w:tcBorders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9" w:type="dxa"/>
            <w:vMerge w:val="continue"/>
            <w:shd w:val="clear" w:color="000000" w:fill="auto"/>
            <w:vAlign w:val="center"/>
          </w:tcPr>
          <w:p/>
        </w:tc>
        <w:tc>
          <w:tcPr>
            <w:tcW w:w="1339" w:type="dxa"/>
            <w:vMerge w:val="continue"/>
            <w:shd w:val="clear" w:color="000000" w:fill="auto"/>
            <w:vAlign w:val="center"/>
          </w:tcPr>
          <w:p/>
        </w:tc>
        <w:tc>
          <w:tcPr>
            <w:tcW w:w="2190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废酸HW900-600-34</w:t>
            </w:r>
          </w:p>
        </w:tc>
        <w:tc>
          <w:tcPr>
            <w:tcW w:w="1335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05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630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徐州方维环保科技有限公司</w:t>
            </w:r>
          </w:p>
        </w:tc>
        <w:tc>
          <w:tcPr>
            <w:tcW w:w="813" w:type="dxa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0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/>
        </w:tc>
      </w:tr>
    </w:tbl>
    <w:p>
      <w:bookmarkStart w:id="0" w:name="_GoBack"/>
      <w:bookmarkEnd w:id="0"/>
    </w:p>
    <w:sectPr>
      <w:footnotePr>
        <w:numFmt w:val="decimal"/>
      </w:footnotePr>
      <w:pgSz w:w="16838" w:h="11906" w:orient="landscape"/>
      <w:pgMar w:top="1440" w:right="1701" w:bottom="1440" w:left="1440" w:header="708" w:footer="708" w:gutter="0"/>
      <w:pgNumType w:fmt="decimal"/>
      <w:cols w:space="720" w:num="1"/>
      <w:docGrid w:linePitch="360" w:charSpace="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小标宋_GBK">
    <w:altName w:val="微软雅黑"/>
    <w:panose1 w:val="020F0502020204030204"/>
    <w:charset w:val="00"/>
    <w:family w:val="auto"/>
    <w:pitch w:val="default"/>
    <w:sig w:usb0="00000000" w:usb1="00000000" w:usb2="00000000" w:usb3="00000000" w:csb0="FFFFFF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800"/>
  <w:displayHorizontalDrawingGridEvery w:val="0"/>
  <w:displayVerticalDrawingGridEvery w:val="2"/>
  <w:noPunctuationKerning w:val="1"/>
  <w:characterSpacingControl w:val="doNotCompress"/>
  <w:compat>
    <w:balanceSingleByteDoubleByteWidth/>
    <w:useFELayout/>
    <w:compatSetting w:name="compatibilityMode" w:uri="http://schemas.microsoft.com/office/word" w:val="15"/>
  </w:compat>
  <w:docVars>
    <w:docVar w:name="commondata" w:val="eyJoZGlkIjoiYjJmYWM1Mzc0ZmZkZmZjYTZhZTMxNmNkMmVlOGU3NWMifQ=="/>
  </w:docVars>
  <w:rsids>
    <w:rsidRoot w:val="00000000"/>
    <w:rsid w:val="059D3EC3"/>
    <w:rsid w:val="0B8F1B81"/>
    <w:rsid w:val="46801EED"/>
    <w:rsid w:val="51767900"/>
  </w:rsids>
  <m:mathPr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7" w:semiHidden="0" w:name="heading 1"/>
    <w:lsdException w:qFormat="1" w:unhideWhenUsed="0" w:uiPriority="8" w:semiHidden="0" w:name="heading 2"/>
    <w:lsdException w:qFormat="1" w:unhideWhenUsed="0" w:uiPriority="9" w:semiHidden="0" w:name="heading 3"/>
    <w:lsdException w:qFormat="1" w:unhideWhenUsed="0" w:uiPriority="10" w:semiHidden="0" w:name="heading 4"/>
    <w:lsdException w:qFormat="1" w:unhideWhenUsed="0" w:uiPriority="11" w:semiHidden="0" w:name="heading 5"/>
    <w:lsdException w:qFormat="1" w:unhideWhenUsed="0" w:uiPriority="12" w:semiHidden="0" w:name="heading 6"/>
    <w:lsdException w:qFormat="1" w:unhideWhenUsed="0" w:uiPriority="13" w:semiHidden="0" w:name="heading 7"/>
    <w:lsdException w:qFormat="1" w:unhideWhenUsed="0" w:uiPriority="14" w:semiHidden="0" w:name="heading 8"/>
    <w:lsdException w:qFormat="1" w:unhideWhenUsed="0" w:uiPriority="15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28" w:semiHidden="0" w:name="toc 1"/>
    <w:lsdException w:qFormat="1" w:uiPriority="29" w:semiHidden="0" w:name="toc 2"/>
    <w:lsdException w:qFormat="1" w:uiPriority="30" w:semiHidden="0" w:name="toc 3"/>
    <w:lsdException w:qFormat="1" w:uiPriority="31" w:semiHidden="0" w:name="toc 4"/>
    <w:lsdException w:qFormat="1" w:uiPriority="32" w:semiHidden="0" w:name="toc 5"/>
    <w:lsdException w:qFormat="1" w:uiPriority="33" w:semiHidden="0" w:name="toc 6"/>
    <w:lsdException w:qFormat="1" w:uiPriority="34" w:semiHidden="0" w:name="toc 7"/>
    <w:lsdException w:qFormat="1" w:uiPriority="35" w:semiHidden="0" w:name="toc 8"/>
    <w:lsdException w:qFormat="1" w:uiPriority="36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151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6" w:semiHidden="0" w:name="Title"/>
    <w:lsdException w:unhideWhenUsed="0" w:uiPriority="0" w:semiHidden="0" w:name="Closing"/>
    <w:lsdException w:unhideWhenUsed="0" w:uiPriority="0" w:semiHidden="0" w:name="Signature"/>
    <w:lsdException w:qFormat="1" w:uiPriority="2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0" w:semiHidden="0" w:name="Strong"/>
    <w:lsdException w:qFormat="1" w:unhideWhenUsed="0" w:uiPriority="18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3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7" w:semiHidden="0" w:name="Table Grid"/>
    <w:lsdException w:unhideWhenUsed="0" w:uiPriority="0" w:semiHidden="0" w:name="Table Theme"/>
    <w:lsdException w:qFormat="1" w:unhideWhenUsed="0" w:uiPriority="5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6" w:semiHidden="0" w:name="List Paragraph"/>
    <w:lsdException w:qFormat="1" w:unhideWhenUsed="0" w:uiPriority="21" w:semiHidden="0" w:name="Quote"/>
    <w:lsdException w:qFormat="1" w:unhideWhenUsed="0" w:uiPriority="22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">
    <w:name w:val="heading 1"/>
    <w:basedOn w:val="1"/>
    <w:next w:val="1"/>
    <w:qFormat/>
    <w:uiPriority w:val="7"/>
    <w:pPr>
      <w:wordWrap w:val="0"/>
      <w:autoSpaceDE/>
      <w:autoSpaceDN/>
      <w:ind w:firstLine="0"/>
      <w:jc w:val="center"/>
    </w:pPr>
    <w:rPr>
      <w:rFonts w:ascii="方正小标宋_GBK" w:hAnsi="方正小标宋_GBK" w:eastAsia="方正小标宋_GBK"/>
      <w:sz w:val="44"/>
      <w:szCs w:val="44"/>
    </w:rPr>
  </w:style>
  <w:style w:type="paragraph" w:styleId="3">
    <w:name w:val="heading 2"/>
    <w:next w:val="1"/>
    <w:qFormat/>
    <w:uiPriority w:val="8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4">
    <w:name w:val="heading 3"/>
    <w:next w:val="1"/>
    <w:qFormat/>
    <w:uiPriority w:val="9"/>
    <w:pPr>
      <w:wordWrap w:val="0"/>
      <w:autoSpaceDE/>
      <w:autoSpaceDN/>
      <w:ind w:left="10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5">
    <w:name w:val="heading 4"/>
    <w:next w:val="1"/>
    <w:qFormat/>
    <w:uiPriority w:val="10"/>
    <w:pPr>
      <w:wordWrap w:val="0"/>
      <w:autoSpaceDE/>
      <w:autoSpaceDN/>
      <w:ind w:left="1200" w:hanging="400"/>
      <w:jc w:val="both"/>
    </w:pPr>
    <w:rPr>
      <w:rFonts w:asciiTheme="minorHAnsi" w:hAnsiTheme="minorHAnsi" w:eastAsiaTheme="minorEastAsia" w:cstheme="minorBidi"/>
      <w:b/>
      <w:sz w:val="21"/>
      <w:szCs w:val="21"/>
    </w:rPr>
  </w:style>
  <w:style w:type="paragraph" w:styleId="6">
    <w:name w:val="heading 5"/>
    <w:next w:val="1"/>
    <w:qFormat/>
    <w:uiPriority w:val="11"/>
    <w:pPr>
      <w:wordWrap w:val="0"/>
      <w:autoSpaceDE/>
      <w:autoSpaceDN/>
      <w:ind w:left="14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7">
    <w:name w:val="heading 6"/>
    <w:next w:val="1"/>
    <w:qFormat/>
    <w:uiPriority w:val="12"/>
    <w:pPr>
      <w:wordWrap w:val="0"/>
      <w:autoSpaceDE/>
      <w:autoSpaceDN/>
      <w:ind w:left="1600" w:hanging="400"/>
      <w:jc w:val="both"/>
    </w:pPr>
    <w:rPr>
      <w:rFonts w:asciiTheme="minorHAnsi" w:hAnsiTheme="minorHAnsi" w:eastAsiaTheme="minorEastAsia" w:cstheme="minorBidi"/>
      <w:b/>
      <w:sz w:val="21"/>
      <w:szCs w:val="21"/>
    </w:rPr>
  </w:style>
  <w:style w:type="paragraph" w:styleId="8">
    <w:name w:val="heading 7"/>
    <w:next w:val="1"/>
    <w:qFormat/>
    <w:uiPriority w:val="13"/>
    <w:pPr>
      <w:wordWrap w:val="0"/>
      <w:autoSpaceDE/>
      <w:autoSpaceDN/>
      <w:ind w:left="18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9">
    <w:name w:val="heading 8"/>
    <w:next w:val="1"/>
    <w:qFormat/>
    <w:uiPriority w:val="14"/>
    <w:pPr>
      <w:wordWrap w:val="0"/>
      <w:autoSpaceDE/>
      <w:autoSpaceDN/>
      <w:ind w:left="20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0">
    <w:name w:val="heading 9"/>
    <w:next w:val="1"/>
    <w:qFormat/>
    <w:uiPriority w:val="15"/>
    <w:pPr>
      <w:wordWrap w:val="0"/>
      <w:autoSpaceDE/>
      <w:autoSpaceDN/>
      <w:ind w:left="22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character" w:default="1" w:styleId="25">
    <w:name w:val="Default Paragraph Font"/>
    <w:semiHidden/>
    <w:unhideWhenUsed/>
    <w:qFormat/>
    <w:uiPriority w:val="2"/>
    <w:rPr>
      <w:sz w:val="21"/>
      <w:szCs w:val="21"/>
    </w:rPr>
  </w:style>
  <w:style w:type="table" w:default="1" w:styleId="23">
    <w:name w:val="Normal Table"/>
    <w:semiHidden/>
    <w:unhideWhenUsed/>
    <w:qFormat/>
    <w:uiPriority w:val="3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nhideWhenUsed/>
    <w:qFormat/>
    <w:uiPriority w:val="34"/>
    <w:pPr>
      <w:wordWrap w:val="0"/>
      <w:autoSpaceDE/>
      <w:autoSpaceDN/>
      <w:ind w:left="25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2">
    <w:name w:val="toc 5"/>
    <w:next w:val="1"/>
    <w:unhideWhenUsed/>
    <w:qFormat/>
    <w:uiPriority w:val="32"/>
    <w:pPr>
      <w:wordWrap w:val="0"/>
      <w:autoSpaceDE/>
      <w:autoSpaceDN/>
      <w:ind w:left="170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3">
    <w:name w:val="toc 3"/>
    <w:next w:val="1"/>
    <w:unhideWhenUsed/>
    <w:qFormat/>
    <w:uiPriority w:val="30"/>
    <w:pPr>
      <w:wordWrap w:val="0"/>
      <w:autoSpaceDE/>
      <w:autoSpaceDN/>
      <w:ind w:left="8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4">
    <w:name w:val="toc 8"/>
    <w:next w:val="1"/>
    <w:unhideWhenUsed/>
    <w:qFormat/>
    <w:uiPriority w:val="35"/>
    <w:pPr>
      <w:wordWrap w:val="0"/>
      <w:autoSpaceDE/>
      <w:autoSpaceDN/>
      <w:ind w:left="297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5">
    <w:name w:val="footer"/>
    <w:basedOn w:val="1"/>
    <w:qFormat/>
    <w:uiPriority w:val="151"/>
    <w:pPr>
      <w:tabs>
        <w:tab w:val="center" w:pos="4153"/>
        <w:tab w:val="right" w:pos="8306"/>
      </w:tabs>
      <w:wordWrap w:val="0"/>
      <w:autoSpaceDE/>
      <w:autoSpaceDN/>
      <w:ind w:firstLine="0"/>
    </w:pPr>
    <w:rPr>
      <w:rFonts w:ascii="宋体" w:hAnsi="宋体" w:eastAsia="宋体"/>
      <w:sz w:val="18"/>
      <w:szCs w:val="18"/>
    </w:rPr>
  </w:style>
  <w:style w:type="paragraph" w:styleId="16">
    <w:name w:val="toc 1"/>
    <w:next w:val="1"/>
    <w:unhideWhenUsed/>
    <w:qFormat/>
    <w:uiPriority w:val="28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7">
    <w:name w:val="toc 4"/>
    <w:next w:val="1"/>
    <w:unhideWhenUsed/>
    <w:qFormat/>
    <w:uiPriority w:val="31"/>
    <w:pPr>
      <w:wordWrap w:val="0"/>
      <w:autoSpaceDE/>
      <w:autoSpaceDN/>
      <w:ind w:left="127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8">
    <w:name w:val="Subtitle"/>
    <w:qFormat/>
    <w:uiPriority w:val="16"/>
    <w:pPr>
      <w:wordWrap w:val="0"/>
      <w:autoSpaceDE/>
      <w:autoSpaceDN/>
      <w:jc w:val="center"/>
    </w:pPr>
    <w:rPr>
      <w:rFonts w:asciiTheme="minorHAnsi" w:hAnsiTheme="minorHAnsi" w:eastAsiaTheme="minorEastAsia" w:cstheme="minorBidi"/>
      <w:sz w:val="24"/>
      <w:szCs w:val="24"/>
    </w:rPr>
  </w:style>
  <w:style w:type="paragraph" w:styleId="19">
    <w:name w:val="toc 6"/>
    <w:next w:val="1"/>
    <w:unhideWhenUsed/>
    <w:qFormat/>
    <w:uiPriority w:val="33"/>
    <w:pPr>
      <w:wordWrap w:val="0"/>
      <w:autoSpaceDE/>
      <w:autoSpaceDN/>
      <w:ind w:left="212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0">
    <w:name w:val="toc 2"/>
    <w:next w:val="1"/>
    <w:unhideWhenUsed/>
    <w:qFormat/>
    <w:uiPriority w:val="29"/>
    <w:pPr>
      <w:wordWrap w:val="0"/>
      <w:autoSpaceDE/>
      <w:autoSpaceDN/>
      <w:ind w:left="42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1">
    <w:name w:val="toc 9"/>
    <w:next w:val="1"/>
    <w:unhideWhenUsed/>
    <w:qFormat/>
    <w:uiPriority w:val="36"/>
    <w:pPr>
      <w:wordWrap w:val="0"/>
      <w:autoSpaceDE/>
      <w:autoSpaceDN/>
      <w:ind w:left="340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2">
    <w:name w:val="Title"/>
    <w:qFormat/>
    <w:uiPriority w:val="6"/>
    <w:pPr>
      <w:wordWrap w:val="0"/>
      <w:autoSpaceDE/>
      <w:autoSpaceDN/>
      <w:jc w:val="center"/>
    </w:pPr>
    <w:rPr>
      <w:rFonts w:asciiTheme="minorHAnsi" w:hAnsiTheme="minorHAnsi" w:eastAsiaTheme="minorEastAsia" w:cstheme="minorBidi"/>
      <w:b/>
      <w:sz w:val="32"/>
      <w:szCs w:val="32"/>
    </w:rPr>
  </w:style>
  <w:style w:type="table" w:styleId="24">
    <w:name w:val="Table Grid"/>
    <w:basedOn w:val="23"/>
    <w:qFormat/>
    <w:uiPriority w:val="37"/>
    <w:pPr>
      <w:wordWrap w:val="0"/>
      <w:autoSpaceDE/>
      <w:autoSpaceDN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6">
    <w:name w:val="Strong"/>
    <w:qFormat/>
    <w:uiPriority w:val="20"/>
    <w:rPr>
      <w:b/>
      <w:sz w:val="21"/>
      <w:szCs w:val="21"/>
    </w:rPr>
  </w:style>
  <w:style w:type="character" w:styleId="27">
    <w:name w:val="Emphasis"/>
    <w:qFormat/>
    <w:uiPriority w:val="18"/>
    <w:rPr>
      <w:i/>
      <w:sz w:val="21"/>
      <w:szCs w:val="21"/>
    </w:rPr>
  </w:style>
  <w:style w:type="paragraph" w:styleId="28">
    <w:name w:val="No Spacing"/>
    <w:qFormat/>
    <w:uiPriority w:val="5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character" w:customStyle="1" w:styleId="29">
    <w:name w:val="Subtle Emphasis"/>
    <w:qFormat/>
    <w:uiPriority w:val="17"/>
    <w:rPr>
      <w:i/>
      <w:color w:val="404040"/>
      <w:sz w:val="21"/>
      <w:szCs w:val="21"/>
    </w:rPr>
  </w:style>
  <w:style w:type="character" w:customStyle="1" w:styleId="30">
    <w:name w:val="Intense Emphasis"/>
    <w:qFormat/>
    <w:uiPriority w:val="19"/>
    <w:rPr>
      <w:i/>
      <w:color w:val="5B9BD5"/>
      <w:sz w:val="21"/>
      <w:szCs w:val="21"/>
    </w:rPr>
  </w:style>
  <w:style w:type="paragraph" w:styleId="31">
    <w:name w:val="Quote"/>
    <w:qFormat/>
    <w:uiPriority w:val="21"/>
    <w:pPr>
      <w:wordWrap w:val="0"/>
      <w:autoSpaceDE/>
      <w:autoSpaceDN/>
      <w:ind w:left="864" w:right="864" w:firstLine="0"/>
      <w:jc w:val="center"/>
    </w:pPr>
    <w:rPr>
      <w:rFonts w:asciiTheme="minorHAnsi" w:hAnsiTheme="minorHAnsi" w:eastAsiaTheme="minorEastAsia" w:cstheme="minorBidi"/>
      <w:i/>
      <w:color w:val="404040"/>
      <w:sz w:val="21"/>
      <w:szCs w:val="21"/>
    </w:rPr>
  </w:style>
  <w:style w:type="paragraph" w:styleId="32">
    <w:name w:val="Intense Quote"/>
    <w:qFormat/>
    <w:uiPriority w:val="22"/>
    <w:pPr>
      <w:wordWrap w:val="0"/>
      <w:autoSpaceDE/>
      <w:autoSpaceDN/>
      <w:ind w:left="950" w:right="950" w:firstLine="0"/>
      <w:jc w:val="center"/>
    </w:pPr>
    <w:rPr>
      <w:rFonts w:asciiTheme="minorHAnsi" w:hAnsiTheme="minorHAnsi" w:eastAsiaTheme="minorEastAsia" w:cstheme="minorBidi"/>
      <w:i/>
      <w:color w:val="5B9BD5"/>
      <w:sz w:val="21"/>
      <w:szCs w:val="21"/>
    </w:rPr>
  </w:style>
  <w:style w:type="character" w:customStyle="1" w:styleId="33">
    <w:name w:val="Subtle Reference"/>
    <w:qFormat/>
    <w:uiPriority w:val="23"/>
    <w:rPr>
      <w:smallCaps/>
      <w:color w:val="5A5A5A"/>
      <w:sz w:val="21"/>
      <w:szCs w:val="21"/>
    </w:rPr>
  </w:style>
  <w:style w:type="character" w:customStyle="1" w:styleId="34">
    <w:name w:val="Intense Reference"/>
    <w:qFormat/>
    <w:uiPriority w:val="24"/>
    <w:rPr>
      <w:b/>
      <w:smallCaps/>
      <w:color w:val="5B9BD5"/>
      <w:sz w:val="21"/>
      <w:szCs w:val="21"/>
    </w:rPr>
  </w:style>
  <w:style w:type="character" w:customStyle="1" w:styleId="35">
    <w:name w:val="Book Title"/>
    <w:qFormat/>
    <w:uiPriority w:val="25"/>
    <w:rPr>
      <w:b/>
      <w:i/>
      <w:sz w:val="21"/>
      <w:szCs w:val="21"/>
    </w:rPr>
  </w:style>
  <w:style w:type="paragraph" w:styleId="36">
    <w:name w:val="List Paragraph"/>
    <w:qFormat/>
    <w:uiPriority w:val="26"/>
    <w:pPr>
      <w:wordWrap w:val="0"/>
      <w:autoSpaceDE/>
      <w:autoSpaceDN/>
      <w:ind w:left="8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customStyle="1" w:styleId="37">
    <w:name w:val="TOC Heading"/>
    <w:unhideWhenUsed/>
    <w:qFormat/>
    <w:uiPriority w:val="27"/>
    <w:pPr>
      <w:wordWrap w:val="0"/>
      <w:autoSpaceDE/>
      <w:autoSpaceDN/>
      <w:jc w:val="both"/>
    </w:pPr>
    <w:rPr>
      <w:rFonts w:asciiTheme="minorHAnsi" w:hAnsiTheme="minorHAnsi" w:eastAsiaTheme="minorEastAsia" w:cstheme="minorBidi"/>
      <w:color w:val="2E74B5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259</Words>
  <Characters>384</Characters>
  <Lines>0</Lines>
  <Paragraphs>0</Paragraphs>
  <TotalTime>16</TotalTime>
  <ScaleCrop>false</ScaleCrop>
  <LinksUpToDate>false</LinksUpToDate>
  <CharactersWithSpaces>384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2021-10-14T22:40:00Z</dcterms:created>
  <dc:creator>dell</dc:creator>
  <cp:lastModifiedBy>庞文龙</cp:lastModifiedBy>
  <dcterms:modified xsi:type="dcterms:W3CDTF">2022-07-02T06:41:49Z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0F6D14E0093E41C589A0E356821C4C4D</vt:lpwstr>
  </property>
</Properties>
</file>